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06"/>
        <w:gridCol w:w="3306"/>
        <w:gridCol w:w="3306"/>
      </w:tblGrid>
      <w:tr>
        <w:trPr>
          <w:trHeight w:val="400" w:hRule="atLeast"/>
        </w:trPr>
        <w:tc>
          <w:tcPr>
            <w:tcW w:w="9918"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305" w:hRule="atLeast"/>
        </w:trPr>
        <w:tc>
          <w:tcPr>
            <w:tcW w:w="3306"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154" w:hRule="atLeast"/>
        </w:trPr>
        <w:tc>
          <w:tcPr>
            <w:tcW w:w="3306"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様式第５－（ロ）－②</w:t>
      </w:r>
    </w:p>
    <w:tbl>
      <w:tblPr>
        <w:tblStyle w:val="11"/>
        <w:tblW w:w="10178" w:type="dxa"/>
        <w:tblInd w:w="-60" w:type="dxa"/>
        <w:tblLayout w:type="fixed"/>
        <w:tblCellMar>
          <w:left w:w="52" w:type="dxa"/>
          <w:right w:w="52" w:type="dxa"/>
        </w:tblCellMar>
        <w:tblLook w:firstRow="0" w:lastRow="0" w:firstColumn="0" w:lastColumn="0" w:noHBand="0" w:noVBand="0" w:val="0000"/>
      </w:tblPr>
      <w:tblGrid>
        <w:gridCol w:w="10178"/>
      </w:tblGrid>
      <w:tr>
        <w:trPr/>
        <w:tc>
          <w:tcPr>
            <w:tcW w:w="10178" w:type="dxa"/>
            <w:vAlign w:val="top"/>
          </w:tcPr>
          <w:p>
            <w:pPr>
              <w:pStyle w:val="0"/>
              <w:suppressAutoHyphens w:val="1"/>
              <w:kinsoku w:val="0"/>
              <w:wordWrap w:val="0"/>
              <w:overflowPunct w:val="0"/>
              <w:autoSpaceDE w:val="0"/>
              <w:autoSpaceDN w:val="0"/>
              <w:adjustRightInd w:val="0"/>
              <w:spacing w:line="60" w:lineRule="exact"/>
              <w:ind w:left="192" w:leftChars="10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ind w:left="192" w:leftChars="10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中小企業信用保険法第２条第５項第５号の規定による認定申請書（ロ－②）</w:t>
            </w:r>
          </w:p>
          <w:p>
            <w:pPr>
              <w:pStyle w:val="0"/>
              <w:suppressAutoHyphens w:val="1"/>
              <w:kinsoku w:val="0"/>
              <w:wordWrap w:val="0"/>
              <w:overflowPunct w:val="0"/>
              <w:autoSpaceDE w:val="0"/>
              <w:autoSpaceDN w:val="0"/>
              <w:adjustRightInd w:val="0"/>
              <w:spacing w:line="60" w:lineRule="exact"/>
              <w:ind w:left="192" w:leftChars="100"/>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left="192" w:leftChars="100" w:right="636" w:rightChars="331"/>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60" w:lineRule="exact"/>
              <w:ind w:left="192" w:leftChars="100"/>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left="192" w:leftChars="10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阿南市長　殿</w:t>
            </w:r>
          </w:p>
          <w:p>
            <w:pPr>
              <w:pStyle w:val="0"/>
              <w:suppressAutoHyphens w:val="1"/>
              <w:kinsoku w:val="0"/>
              <w:wordWrap w:val="0"/>
              <w:overflowPunct w:val="0"/>
              <w:autoSpaceDE w:val="0"/>
              <w:autoSpaceDN w:val="0"/>
              <w:adjustRightInd w:val="0"/>
              <w:spacing w:line="60" w:lineRule="exact"/>
              <w:ind w:left="192" w:leftChars="100"/>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left="192" w:leftChars="10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40" w:lineRule="exact"/>
              <w:ind w:left="192" w:leftChars="100" w:right="801"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left="192" w:leftChars="100" w:right="801"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before="142" w:beforeLines="50" w:beforeAutospacing="0" w:line="240" w:lineRule="exact"/>
              <w:ind w:left="0" w:leftChars="0" w:right="0" w:rightChars="0" w:firstLine="192"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39"/>
              <w:ind w:left="0" w:leftChars="0"/>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3265"/>
              <w:gridCol w:w="3265"/>
            </w:tblGrid>
            <w:tr>
              <w:trPr>
                <w:trHeight w:val="366" w:hRule="atLeast"/>
              </w:trPr>
              <w:tc>
                <w:tcPr>
                  <w:tcW w:w="32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92" w:leftChars="100"/>
                    <w:jc w:val="center"/>
                    <w:textAlignment w:val="baseline"/>
                    <w:rPr>
                      <w:rFonts w:hint="default" w:ascii="ＭＳ ゴシック" w:hAnsi="ＭＳ ゴシック" w:eastAsia="ＭＳ ゴシック"/>
                      <w:color w:val="000000"/>
                      <w:spacing w:val="16"/>
                      <w:kern w:val="0"/>
                    </w:rPr>
                  </w:pPr>
                </w:p>
              </w:tc>
              <w:tc>
                <w:tcPr>
                  <w:tcW w:w="32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92" w:leftChars="100"/>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ind w:left="192" w:leftChars="100"/>
                    <w:jc w:val="left"/>
                    <w:textAlignment w:val="baseline"/>
                    <w:rPr>
                      <w:rFonts w:hint="default" w:ascii="ＭＳ ゴシック" w:hAnsi="ＭＳ ゴシック" w:eastAsia="ＭＳ ゴシック"/>
                      <w:color w:val="000000"/>
                      <w:spacing w:val="16"/>
                      <w:kern w:val="0"/>
                    </w:rPr>
                  </w:pPr>
                </w:p>
              </w:tc>
            </w:tr>
            <w:tr>
              <w:trPr>
                <w:trHeight w:val="381" w:hRule="atLeast"/>
              </w:trPr>
              <w:tc>
                <w:tcPr>
                  <w:tcW w:w="32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92" w:leftChars="100"/>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ind w:left="192" w:leftChars="100"/>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ind w:left="192" w:leftChars="10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left="0"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0"/>
              </w:rPr>
              <w:t>※</w:t>
            </w:r>
            <w:r>
              <w:rPr>
                <w:rFonts w:hint="eastAsia" w:ascii="ＭＳ ゴシック" w:hAnsi="ＭＳ ゴシック" w:eastAsia="ＭＳ ゴシック"/>
                <w:color w:val="000000"/>
                <w:spacing w:val="16"/>
                <w:kern w:val="0"/>
                <w:sz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before="142" w:beforeLines="50" w:beforeAutospacing="0" w:line="240" w:lineRule="exact"/>
              <w:ind w:left="192" w:leftChars="10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before="0" w:beforeLines="0" w:beforeAutospacing="0"/>
              <w:ind w:left="0" w:leftChars="0" w:firstLine="224"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事業開始年月日　　　　　　　　　　　　　　　　　　　　　　</w:t>
            </w:r>
            <w:r>
              <w:rPr>
                <w:rFonts w:hint="eastAsia" w:ascii="ＭＳ ゴシック" w:hAnsi="ＭＳ ゴシック" w:eastAsia="ＭＳ ゴシック"/>
                <w:color w:val="000000"/>
                <w:spacing w:val="16"/>
                <w:kern w:val="0"/>
                <w:u w:val="single" w:color="auto"/>
              </w:rPr>
              <w:t>　　　年　　　月　　　日</w:t>
            </w:r>
          </w:p>
          <w:p>
            <w:pPr>
              <w:pStyle w:val="32"/>
              <w:numPr>
                <w:ilvl w:val="0"/>
                <w:numId w:val="1"/>
              </w:numPr>
              <w:suppressAutoHyphens w:val="1"/>
              <w:kinsoku w:val="0"/>
              <w:wordWrap w:val="0"/>
              <w:overflowPunct w:val="0"/>
              <w:autoSpaceDE w:val="0"/>
              <w:autoSpaceDN w:val="0"/>
              <w:adjustRightInd w:val="0"/>
              <w:spacing w:line="240" w:lineRule="exact"/>
              <w:ind w:left="360" w:leftChars="100" w:firstLine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原油等の仕入単価の上昇（注２）</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ind w:left="192" w:leftChars="100"/>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指定業種に係る上昇率</w:t>
            </w:r>
            <w:r>
              <w:rPr>
                <w:rFonts w:hint="default" w:ascii="ＭＳ ゴシック" w:hAnsi="ＭＳ ゴシック" w:eastAsia="ＭＳ ゴシック"/>
                <w:color w:val="000000"/>
                <w:kern w:val="0"/>
                <w:u w:val="single" w:color="auto"/>
              </w:rPr>
              <w:softHyphen/>
            </w:r>
            <w:r>
              <w:rPr>
                <w:rFonts w:hint="default" w:ascii="ＭＳ ゴシック" w:hAnsi="ＭＳ ゴシック" w:eastAsia="ＭＳ ゴシック"/>
                <w:color w:val="000000"/>
                <w:kern w:val="0"/>
                <w:u w:val="single" w:color="auto"/>
              </w:rPr>
              <w:softHyphen/>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w:t>
            </w:r>
          </w:p>
          <w:p>
            <w:pPr>
              <w:pStyle w:val="0"/>
              <w:suppressAutoHyphens w:val="1"/>
              <w:kinsoku w:val="0"/>
              <w:wordWrap w:val="0"/>
              <w:overflowPunct w:val="0"/>
              <w:autoSpaceDE w:val="0"/>
              <w:autoSpaceDN w:val="0"/>
              <w:adjustRightInd w:val="0"/>
              <w:spacing w:line="240" w:lineRule="exact"/>
              <w:ind w:left="192" w:left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ind w:left="192" w:left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Ｅ：原油等の最近１か月間における平均仕入れ単価</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指定業種に係る平均仕入単価　　　円</w:t>
            </w:r>
          </w:p>
          <w:p>
            <w:pPr>
              <w:pStyle w:val="0"/>
              <w:suppressAutoHyphens w:val="1"/>
              <w:kinsoku w:val="0"/>
              <w:overflowPunct w:val="0"/>
              <w:autoSpaceDE w:val="0"/>
              <w:autoSpaceDN w:val="0"/>
              <w:adjustRightInd w:val="0"/>
              <w:spacing w:line="240" w:lineRule="exact"/>
              <w:ind w:left="192" w:leftChars="100" w:firstLine="560" w:firstLineChars="25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pacing w:line="240" w:lineRule="exact"/>
              <w:ind w:left="192" w:left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ｅ：Ｅの期間に対応する前年１か月間の平均仕入れ単価</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指定業種に係る平均仕入単価</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円</w:t>
            </w:r>
          </w:p>
          <w:p>
            <w:pPr>
              <w:pStyle w:val="0"/>
              <w:suppressAutoHyphens w:val="1"/>
              <w:kinsoku w:val="0"/>
              <w:overflowPunct w:val="0"/>
              <w:autoSpaceDE w:val="0"/>
              <w:autoSpaceDN w:val="0"/>
              <w:adjustRightInd w:val="0"/>
              <w:spacing w:line="240" w:lineRule="exact"/>
              <w:ind w:left="192" w:leftChars="100" w:firstLine="560" w:firstLineChars="25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p>
          <w:p>
            <w:pPr>
              <w:pStyle w:val="32"/>
              <w:numPr>
                <w:ilvl w:val="0"/>
                <w:numId w:val="1"/>
              </w:numPr>
              <w:suppressAutoHyphens w:val="1"/>
              <w:kinsoku w:val="0"/>
              <w:wordWrap w:val="0"/>
              <w:overflowPunct w:val="0"/>
              <w:autoSpaceDE w:val="0"/>
              <w:autoSpaceDN w:val="0"/>
              <w:adjustRightInd w:val="0"/>
              <w:spacing w:line="240" w:lineRule="exact"/>
              <w:ind w:left="360" w:leftChars="100" w:firstLine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原油等が売上原価に占める割合（注２）</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ind w:left="192" w:leftChars="100"/>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Ｓ</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指定業種に係る依存率</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left="192" w:leftChars="10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全体に係る依存率</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240" w:lineRule="exact"/>
              <w:ind w:left="192" w:leftChars="100" w:firstLine="19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最近１か月間における全体の売上原価に占める指定業種の売上原価の割合　　　　　　　　　　　％</w:t>
            </w:r>
          </w:p>
          <w:p>
            <w:pPr>
              <w:pStyle w:val="0"/>
              <w:suppressAutoHyphens w:val="1"/>
              <w:kinsoku w:val="0"/>
              <w:wordWrap w:val="0"/>
              <w:overflowPunct w:val="0"/>
              <w:autoSpaceDE w:val="0"/>
              <w:autoSpaceDN w:val="0"/>
              <w:adjustRightInd w:val="0"/>
              <w:spacing w:line="240" w:lineRule="exact"/>
              <w:ind w:left="192" w:leftChars="10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Ｃ：最近１か月の売上原価</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指定業種に係る売上原価</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kern w:val="0"/>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ind w:left="192" w:leftChars="10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全体にかかる売上原価</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ind w:left="192" w:leftChars="10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Ｓ：Ｃの売上原価に対応する原油等の仕入額</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指定業種に係る仕入額</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ind w:left="192" w:leftChars="10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全体に係る仕入額</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32"/>
              <w:numPr>
                <w:ilvl w:val="0"/>
                <w:numId w:val="1"/>
              </w:numPr>
              <w:suppressAutoHyphens w:val="1"/>
              <w:kinsoku w:val="0"/>
              <w:wordWrap w:val="0"/>
              <w:overflowPunct w:val="0"/>
              <w:autoSpaceDE w:val="0"/>
              <w:autoSpaceDN w:val="0"/>
              <w:adjustRightInd w:val="0"/>
              <w:spacing w:line="240" w:lineRule="exact"/>
              <w:ind w:left="360" w:leftChars="100" w:firstLine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製品等価格への転嫁の状況（注３）</w:t>
            </w:r>
          </w:p>
          <w:p>
            <w:pPr>
              <w:pStyle w:val="0"/>
              <w:tabs>
                <w:tab w:val="center" w:leader="none" w:pos="4252"/>
                <w:tab w:val="right" w:leader="none" w:pos="8504"/>
              </w:tabs>
              <w:suppressAutoHyphens w:val="1"/>
              <w:kinsoku w:val="0"/>
              <w:overflowPunct w:val="0"/>
              <w:autoSpaceDE w:val="0"/>
              <w:autoSpaceDN w:val="0"/>
              <w:adjustRightInd w:val="0"/>
              <w:snapToGrid w:val="0"/>
              <w:spacing w:line="230" w:lineRule="exact"/>
              <w:ind w:left="192" w:leftChars="100"/>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指定業種に係る転嫁の状況　Ｐ＝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wordWrap w:val="0"/>
              <w:overflowPunct w:val="0"/>
              <w:autoSpaceDE w:val="0"/>
              <w:autoSpaceDN w:val="0"/>
              <w:adjustRightInd w:val="0"/>
              <w:spacing w:line="230" w:lineRule="exact"/>
              <w:ind w:left="192" w:leftChars="10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全体に係る転嫁の状況</w:t>
            </w:r>
            <w:r>
              <w:rPr>
                <w:rFonts w:hint="eastAsia" w:ascii="ＭＳ ゴシック" w:hAnsi="ＭＳ ゴシック" w:eastAsia="ＭＳ ゴシック"/>
                <w:color w:val="000000"/>
                <w:kern w:val="0"/>
                <w:u w:val="single" w:color="000000"/>
              </w:rPr>
              <w:t>　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left="192" w:leftChars="10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Ａ：最近３か月間の原油等の仕入額</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指定業種に係る仕入額</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ind w:left="192" w:leftChars="10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全体に係る仕入額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ind w:left="192" w:leftChars="10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ａ：Ａの期間に対応する前年３か月間の原油等の仕入額　</w:t>
            </w:r>
            <w:r>
              <w:rPr>
                <w:rFonts w:hint="eastAsia" w:ascii="ＭＳ ゴシック" w:hAnsi="ＭＳ ゴシック" w:eastAsia="ＭＳ ゴシック"/>
                <w:color w:val="000000"/>
                <w:spacing w:val="16"/>
                <w:kern w:val="0"/>
                <w:u w:val="single" w:color="auto"/>
              </w:rPr>
              <w:t>指定業種に係る仕入額　</w:t>
            </w:r>
            <w:r>
              <w:rPr>
                <w:rFonts w:hint="eastAsia" w:ascii="ＭＳ ゴシック" w:hAnsi="ＭＳ ゴシック" w:eastAsia="ＭＳ ゴシック"/>
                <w:color w:val="000000"/>
                <w:spacing w:val="16"/>
                <w:kern w:val="0"/>
                <w:u w:val="single" w:color="auto"/>
              </w:rPr>
              <w:t xml:space="preserve"> </w:t>
            </w:r>
            <w:r>
              <w:rPr>
                <w:rFonts w:hint="default" w:ascii="ＭＳ ゴシック" w:hAnsi="ＭＳ ゴシック" w:eastAsia="ＭＳ ゴシック"/>
                <w:color w:val="000000"/>
                <w:spacing w:val="16"/>
                <w:kern w:val="0"/>
                <w:u w:val="single" w:color="auto"/>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ind w:left="192" w:leftChars="10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全体に係る仕入額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pacing w:line="240" w:lineRule="exact"/>
              <w:ind w:left="192" w:leftChars="10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Ｂ：最近３か月間の売上高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指定業種に係る売上高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ind w:left="192" w:left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全体に係る売上高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pacing w:line="240" w:lineRule="exact"/>
              <w:ind w:left="192" w:leftChars="10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ｂ：Ｂの期間に対応する前年３か月間の売上高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指定業種に係る売上高</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ind w:left="192" w:leftChars="10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全体に係る売上高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before="285" w:beforeLines="100" w:beforeAutospacing="0" w:line="240" w:lineRule="exact"/>
              <w:ind w:left="192" w:left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阿南商第　　　　号</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ind w:left="192" w:leftChars="100" w:firstLine="192"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　　　日</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ind w:left="192" w:left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申請のとおり、相違ないことを認定します。</w:t>
            </w:r>
          </w:p>
          <w:p>
            <w:pPr>
              <w:pStyle w:val="0"/>
              <w:suppressAutoHyphens w:val="1"/>
              <w:kinsoku w:val="0"/>
              <w:wordWrap w:val="0"/>
              <w:overflowPunct w:val="0"/>
              <w:autoSpaceDE w:val="0"/>
              <w:autoSpaceDN w:val="0"/>
              <w:adjustRightInd w:val="0"/>
              <w:spacing w:line="274" w:lineRule="atLeast"/>
              <w:ind w:left="192" w:leftChars="10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spacing w:val="16"/>
                <w:kern w:val="0"/>
                <w:sz w:val="18"/>
              </w:rPr>
              <w:t>（注）信用保証協会への申込期間</w:t>
            </w:r>
          </w:p>
          <w:p>
            <w:pPr>
              <w:pStyle w:val="0"/>
              <w:suppressAutoHyphens w:val="1"/>
              <w:kinsoku w:val="0"/>
              <w:wordWrap w:val="0"/>
              <w:overflowPunct w:val="0"/>
              <w:autoSpaceDE w:val="0"/>
              <w:autoSpaceDN w:val="0"/>
              <w:adjustRightInd w:val="0"/>
              <w:spacing w:line="274" w:lineRule="atLeast"/>
              <w:ind w:left="192" w:leftChars="100" w:firstLine="582"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sz w:val="18"/>
              </w:rPr>
              <w:t>令和　　年　　　月　　　日から令和　　年　　　月　　　日まで</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before="142" w:beforeLines="50" w:beforeAutospacing="0" w:line="240" w:lineRule="exact"/>
              <w:ind w:left="192" w:left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阿南市長　</w:t>
            </w:r>
            <w:r>
              <w:rPr>
                <w:rFonts w:hint="eastAsia" w:ascii="ＭＳ ゴシック" w:hAnsi="ＭＳ ゴシック" w:eastAsia="ＭＳ ゴシック"/>
                <w:color w:val="000000"/>
                <w:spacing w:val="52"/>
                <w:kern w:val="0"/>
                <w:fitText w:val="1152" w:id="1"/>
              </w:rPr>
              <w:t>岩佐義</w:t>
            </w:r>
            <w:r>
              <w:rPr>
                <w:rFonts w:hint="eastAsia" w:ascii="ＭＳ ゴシック" w:hAnsi="ＭＳ ゴシック" w:eastAsia="ＭＳ ゴシック"/>
                <w:color w:val="000000"/>
                <w:kern w:val="0"/>
                <w:fitText w:val="1152" w:id="1"/>
              </w:rPr>
              <w:t>弘</w:t>
            </w:r>
          </w:p>
          <w:p>
            <w:pPr>
              <w:pStyle w:val="0"/>
              <w:suppressAutoHyphens w:val="1"/>
              <w:kinsoku w:val="0"/>
              <w:wordWrap w:val="0"/>
              <w:overflowPunct w:val="0"/>
              <w:autoSpaceDE w:val="0"/>
              <w:autoSpaceDN w:val="0"/>
              <w:adjustRightInd w:val="0"/>
              <w:spacing w:line="100" w:lineRule="exact"/>
              <w:ind w:left="192" w:leftChars="100"/>
              <w:jc w:val="left"/>
              <w:textAlignment w:val="baseline"/>
              <w:rPr>
                <w:rFonts w:hint="default" w:ascii="ＭＳ ゴシック" w:hAnsi="ＭＳ ゴシック" w:eastAsia="ＭＳ ゴシック"/>
                <w:color w:val="000000"/>
                <w:spacing w:val="16"/>
                <w:kern w:val="0"/>
              </w:rPr>
            </w:pPr>
          </w:p>
        </w:tc>
      </w:tr>
    </w:tbl>
    <w:p>
      <w:pPr>
        <w:pStyle w:val="0"/>
        <w:suppressAutoHyphens w:val="1"/>
        <w:spacing w:line="240" w:lineRule="exact"/>
        <w:ind w:left="0" w:leftChars="0" w:hanging="182" w:hangingChars="100"/>
        <w:jc w:val="left"/>
        <w:textAlignment w:val="baseline"/>
        <w:rPr>
          <w:rFonts w:hint="default" w:ascii="ＭＳ ゴシック" w:hAnsi="ＭＳ ゴシック" w:eastAsia="ＭＳ ゴシック"/>
          <w:color w:val="000000"/>
          <w:kern w:val="0"/>
          <w:sz w:val="20"/>
        </w:rPr>
      </w:pPr>
      <w:bookmarkStart w:id="0" w:name="_GoBack"/>
      <w:bookmarkEnd w:id="0"/>
    </w:p>
    <w:p>
      <w:pPr>
        <w:pStyle w:val="0"/>
        <w:suppressAutoHyphens w:val="1"/>
        <w:spacing w:line="240" w:lineRule="exact"/>
        <w:ind w:left="0" w:leftChars="0" w:hanging="182" w:hangingChars="100"/>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（注１）本様式は、指定業種と非指定業種を兼業している場合であって、指定業種及び申請者全体の双方が認定基準を満たす場合に使用する。</w:t>
      </w:r>
    </w:p>
    <w:p>
      <w:pPr>
        <w:pStyle w:val="0"/>
        <w:suppressAutoHyphens w:val="1"/>
        <w:spacing w:line="240" w:lineRule="exact"/>
        <w:ind w:left="0" w:leftChars="0" w:hanging="182" w:hangingChars="100"/>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（注２）上昇率、依存率及び最近１か月間における全体の売上原価に占める指定業種の売上原価の割合が２０％以上となっていること。</w:t>
      </w:r>
    </w:p>
    <w:p>
      <w:pPr>
        <w:pStyle w:val="0"/>
        <w:suppressAutoHyphens w:val="1"/>
        <w:spacing w:line="240" w:lineRule="exact"/>
        <w:ind w:left="862" w:leftChars="0" w:hanging="862" w:firstLineChars="0"/>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（注３）Ｐ＞０となっていること。</w:t>
      </w:r>
    </w:p>
    <w:p>
      <w:pPr>
        <w:pStyle w:val="0"/>
        <w:suppressAutoHyphens w:val="1"/>
        <w:spacing w:line="240" w:lineRule="exact"/>
        <w:ind w:left="1230" w:hanging="123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（留意事項）</w:t>
      </w:r>
    </w:p>
    <w:p>
      <w:pPr>
        <w:pStyle w:val="32"/>
        <w:numPr>
          <w:ilvl w:val="0"/>
          <w:numId w:val="2"/>
        </w:numPr>
        <w:suppressAutoHyphens w:val="1"/>
        <w:spacing w:line="240" w:lineRule="exact"/>
        <w:ind w:left="533" w:leftChars="0" w:firstLineChars="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本認定とは別に、金融機関及び信用保証協会による金融上の審査があります。</w:t>
      </w:r>
    </w:p>
    <w:p>
      <w:pPr>
        <w:pStyle w:val="32"/>
        <w:numPr>
          <w:ilvl w:val="0"/>
          <w:numId w:val="2"/>
        </w:numPr>
        <w:suppressAutoHyphens w:val="1"/>
        <w:spacing w:line="240" w:lineRule="exact"/>
        <w:ind w:left="533" w:leftChars="0" w:firstLineChars="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sz w:val="20"/>
        </w:rPr>
        <w:t>市町村長又は特別区長から認定を受けた日から３０日以内に金融機関又は信用保証協会に対して、保証の申込みを行うことが必要です。</w:t>
      </w: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sz w:val="22"/>
        </w:rPr>
      </w:pPr>
    </w:p>
    <w:sectPr>
      <w:pgSz w:w="11906" w:h="16838"/>
      <w:pgMar w:top="964" w:right="850" w:bottom="850" w:left="850" w:header="851" w:footer="737" w:gutter="0"/>
      <w:cols w:space="720"/>
      <w:textDirection w:val="lrTb"/>
      <w:docGrid w:type="linesAndChars" w:linePitch="285" w:charSpace="-36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760CAC4"/>
    <w:lvl w:ilvl="0" w:tplc="4E50DD9A">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nsid w:val="00000002"/>
    <w:multiLevelType w:val="hybridMultilevel"/>
    <w:tmpl w:val="49031C8C"/>
    <w:lvl w:ilvl="0" w:tplc="04090011">
      <w:start w:val="1"/>
      <w:numFmt w:val="decimalEnclosedCircle"/>
      <w:lvlText w:val="%1"/>
      <w:lvlJc w:val="left"/>
      <w:pPr>
        <w:ind w:left="418" w:hanging="420"/>
      </w:pPr>
    </w:lvl>
    <w:lvl w:ilvl="1" w:tplc="04090017">
      <w:start w:val="1"/>
      <w:numFmt w:val="aiueoFullWidth"/>
      <w:lvlText w:val="(%2)"/>
      <w:lvlJc w:val="left"/>
      <w:pPr>
        <w:ind w:left="838" w:hanging="420"/>
      </w:pPr>
    </w:lvl>
    <w:lvl w:ilvl="2" w:tplc="04090011">
      <w:start w:val="1"/>
      <w:numFmt w:val="decimalEnclosedCircle"/>
      <w:lvlText w:val="%3"/>
      <w:lvlJc w:val="left"/>
      <w:pPr>
        <w:ind w:left="1258" w:hanging="420"/>
      </w:pPr>
    </w:lvl>
    <w:lvl w:ilvl="3" w:tplc="0409000F">
      <w:start w:val="1"/>
      <w:numFmt w:val="decimal"/>
      <w:lvlText w:val="%4."/>
      <w:lvlJc w:val="left"/>
      <w:pPr>
        <w:ind w:left="1678" w:hanging="420"/>
      </w:pPr>
    </w:lvl>
    <w:lvl w:ilvl="4" w:tplc="04090017">
      <w:start w:val="1"/>
      <w:numFmt w:val="aiueoFullWidth"/>
      <w:lvlText w:val="(%5)"/>
      <w:lvlJc w:val="left"/>
      <w:pPr>
        <w:ind w:left="2098" w:hanging="420"/>
      </w:pPr>
    </w:lvl>
    <w:lvl w:ilvl="5" w:tplc="04090011">
      <w:start w:val="1"/>
      <w:numFmt w:val="decimalEnclosedCircle"/>
      <w:lvlText w:val="%6"/>
      <w:lvlJc w:val="left"/>
      <w:pPr>
        <w:ind w:left="2518" w:hanging="420"/>
      </w:pPr>
    </w:lvl>
    <w:lvl w:ilvl="6" w:tplc="0409000F">
      <w:start w:val="1"/>
      <w:numFmt w:val="decimal"/>
      <w:lvlText w:val="%7."/>
      <w:lvlJc w:val="left"/>
      <w:pPr>
        <w:ind w:left="2938" w:hanging="420"/>
      </w:pPr>
    </w:lvl>
    <w:lvl w:ilvl="7" w:tplc="04090017">
      <w:start w:val="1"/>
      <w:numFmt w:val="aiueoFullWidth"/>
      <w:lvlText w:val="(%8)"/>
      <w:lvlJc w:val="left"/>
      <w:pPr>
        <w:ind w:left="3358" w:hanging="420"/>
      </w:pPr>
    </w:lvl>
    <w:lvl w:ilvl="8" w:tplc="04090011">
      <w:start w:val="1"/>
      <w:numFmt w:val="decimalEnclosedCircle"/>
      <w:lvlText w:val="%9"/>
      <w:lvlJc w:val="left"/>
      <w:pPr>
        <w:ind w:left="3778"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1"/>
  <w:drawingGridVerticalSpacing w:val="14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556</TotalTime>
  <Pages>2</Pages>
  <Words>3</Words>
  <Characters>1122</Characters>
  <Application>JUST Note</Application>
  <Lines>79</Lines>
  <Paragraphs>51</Paragraphs>
  <Company>経済産業省</Company>
  <CharactersWithSpaces>2090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inf21-u07</cp:lastModifiedBy>
  <cp:lastPrinted>2023-02-16T05:13:00Z</cp:lastPrinted>
  <dcterms:created xsi:type="dcterms:W3CDTF">2023-01-12T08:16:00Z</dcterms:created>
  <dcterms:modified xsi:type="dcterms:W3CDTF">2024-11-25T01:17:43Z</dcterms:modified>
  <cp:revision>16</cp:revision>
</cp:coreProperties>
</file>